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rsidR="00A710C0" w:rsidRPr="00DC7DC1" w:rsidRDefault="00A710C0" w:rsidP="00A710C0">
      <w:pPr>
        <w:rPr>
          <w:rFonts w:cs="Arial"/>
          <w:lang w:eastAsia="de-DE"/>
        </w:rPr>
      </w:pPr>
    </w:p>
    <w:p w:rsidR="00FE55E4" w:rsidRPr="00A0562C" w:rsidRDefault="00FE55E4" w:rsidP="00514F54">
      <w:pPr>
        <w:pStyle w:val="Listenabsatz"/>
        <w:numPr>
          <w:ilvl w:val="0"/>
          <w:numId w:val="5"/>
        </w:numPr>
        <w:rPr>
          <w:rFonts w:cs="Arial"/>
          <w:b/>
          <w:bCs/>
        </w:rPr>
      </w:pPr>
      <w:r w:rsidRPr="00A0562C">
        <w:t xml:space="preserve">Das </w:t>
      </w:r>
      <w:r w:rsidRPr="00A0562C">
        <w:rPr>
          <w:b/>
        </w:rPr>
        <w:t>Mindestabstandsgebot von 1,5 m</w:t>
      </w:r>
      <w:r w:rsidRPr="00A0562C">
        <w:t xml:space="preserve"> ist im In- und </w:t>
      </w:r>
      <w:proofErr w:type="spellStart"/>
      <w:r w:rsidRPr="00A0562C">
        <w:t>Outdoorsportstättenbereich</w:t>
      </w:r>
      <w:proofErr w:type="spellEnd"/>
      <w:r w:rsidRPr="00A0562C">
        <w:t>, einschließlich Zuschauerbereich und Sanitäranlagen, sowie beim Betreten und Verlassen der Sportstätten zu beachten. Dies gilt nicht für Personen, die nach den geltenden Regelungen im Verhältnis zueinander von den Kontaktbeschränkungen befreit sind.</w:t>
      </w:r>
    </w:p>
    <w:p w:rsidR="00FE55E4" w:rsidRPr="00A0562C" w:rsidRDefault="00FE55E4" w:rsidP="00514F54">
      <w:pPr>
        <w:pStyle w:val="Listenabsatz"/>
        <w:numPr>
          <w:ilvl w:val="0"/>
          <w:numId w:val="5"/>
        </w:numPr>
        <w:rPr>
          <w:rFonts w:cs="Arial"/>
          <w:b/>
          <w:bCs/>
        </w:rPr>
      </w:pPr>
      <w:r w:rsidRPr="00A0562C">
        <w:t xml:space="preserve">Die Zahl der gleichzeitig im Innenbereich von Sportstätten anwesenden Personen ist von dem Betreiber in seinem Hygienekonzept so festzulegen, dass </w:t>
      </w:r>
      <w:r w:rsidRPr="00A0562C">
        <w:rPr>
          <w:b/>
        </w:rPr>
        <w:t xml:space="preserve">auch bei Erreichen der Personenhöchstzahl die Einhaltung des Mindestabstands von 1,5 m zu jeder Zeit gewährleistet ist. </w:t>
      </w:r>
    </w:p>
    <w:p w:rsidR="00FE55E4" w:rsidRPr="00A0562C" w:rsidRDefault="00FE55E4" w:rsidP="00FE55E4">
      <w:pPr>
        <w:pStyle w:val="Listenabsatz"/>
        <w:numPr>
          <w:ilvl w:val="1"/>
          <w:numId w:val="5"/>
        </w:numPr>
        <w:rPr>
          <w:rFonts w:cs="Arial"/>
          <w:b/>
          <w:bCs/>
        </w:rPr>
      </w:pPr>
      <w:r w:rsidRPr="00A0562C">
        <w:t xml:space="preserve">Bei der Festlegung der Personenzahl sind die Gegebenheiten vor Ort zu berücksichtigen. </w:t>
      </w:r>
    </w:p>
    <w:p w:rsidR="00FE55E4" w:rsidRPr="00A0562C" w:rsidRDefault="00FE55E4" w:rsidP="00FE55E4">
      <w:pPr>
        <w:pStyle w:val="Listenabsatz"/>
        <w:numPr>
          <w:ilvl w:val="1"/>
          <w:numId w:val="5"/>
        </w:numPr>
        <w:rPr>
          <w:rFonts w:cs="Arial"/>
          <w:b/>
          <w:bCs/>
        </w:rPr>
      </w:pPr>
      <w:r w:rsidRPr="00A0562C">
        <w:t xml:space="preserve">Es muss sichergestellt sein, dass die Einhaltung der Mindestabstände in allen zugänglichen Bereichen einschließlich der sanitären Anlagen und Umkleidekabinen jederzeit gewährleistet ist. </w:t>
      </w:r>
    </w:p>
    <w:p w:rsidR="00FE55E4" w:rsidRPr="00A0562C" w:rsidRDefault="00FE55E4" w:rsidP="00FE55E4">
      <w:pPr>
        <w:pStyle w:val="Listenabsatz"/>
        <w:numPr>
          <w:ilvl w:val="1"/>
          <w:numId w:val="5"/>
        </w:numPr>
        <w:rPr>
          <w:rFonts w:cs="Arial"/>
          <w:b/>
          <w:bCs/>
        </w:rPr>
      </w:pPr>
      <w:r w:rsidRPr="00A0562C">
        <w:t xml:space="preserve">Es dürfte sich hierbei empfehlen, dass bezogen auf die Fläche des Raums, in dem der Sport ausgeübt wird, </w:t>
      </w:r>
      <w:r w:rsidRPr="00A0562C">
        <w:rPr>
          <w:b/>
        </w:rPr>
        <w:t>je eine Person pro ca. 20 m</w:t>
      </w:r>
      <w:r w:rsidRPr="00A0562C">
        <w:rPr>
          <w:b/>
          <w:vertAlign w:val="superscript"/>
        </w:rPr>
        <w:t>2</w:t>
      </w:r>
      <w:r w:rsidRPr="00A0562C">
        <w:t xml:space="preserve"> zugelassen wird.</w:t>
      </w:r>
    </w:p>
    <w:p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rsidR="00EB25C6" w:rsidRPr="003F341A" w:rsidRDefault="00EB25C6" w:rsidP="00EB25C6">
      <w:pPr>
        <w:pStyle w:val="Listenabsatz"/>
        <w:numPr>
          <w:ilvl w:val="0"/>
          <w:numId w:val="5"/>
        </w:numPr>
        <w:rPr>
          <w:rFonts w:cs="Arial"/>
          <w:b/>
          <w:bCs/>
        </w:rPr>
      </w:pPr>
      <w:r w:rsidRPr="003F341A">
        <w:rPr>
          <w:rFonts w:cs="Arial"/>
        </w:rPr>
        <w:t xml:space="preserve">Es ist grundsätzlich eine </w:t>
      </w:r>
      <w:r w:rsidRPr="003F341A">
        <w:rPr>
          <w:rFonts w:cs="Arial"/>
          <w:b/>
        </w:rPr>
        <w:t>FFP2-Maske</w:t>
      </w:r>
      <w:r w:rsidRPr="003F341A">
        <w:rPr>
          <w:rFonts w:cs="Arial"/>
        </w:rPr>
        <w:t xml:space="preserve"> zu tragen, ausgenommen bei der Sportausübung oder z.B. 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w:t>
      </w:r>
      <w:r w:rsidRPr="00DC7DC1">
        <w:rPr>
          <w:rFonts w:cs="Arial"/>
        </w:rPr>
        <w:lastRenderedPageBreak/>
        <w:t xml:space="preserve">infektionsschutzrechtlichen Vorgaben verwiesen, – Personen, die einer Quarantänemaßnahme unterliegen, </w:t>
      </w:r>
    </w:p>
    <w:p w:rsidR="00EB25C6" w:rsidRPr="00DC7DC1" w:rsidRDefault="00EB25C6" w:rsidP="00EB25C6">
      <w:pPr>
        <w:pStyle w:val="Listenabsatz"/>
        <w:numPr>
          <w:ilvl w:val="1"/>
          <w:numId w:val="5"/>
        </w:numPr>
        <w:rPr>
          <w:rFonts w:cs="Arial"/>
          <w:b/>
          <w:bCs/>
        </w:rPr>
      </w:pPr>
      <w:r w:rsidRPr="00DC7DC1">
        <w:rPr>
          <w:rFonts w:cs="Arial"/>
        </w:rPr>
        <w:t xml:space="preserve">Personen mit unspezifischen Allgemeinsymptomen und respiratorischen Symptomen jeder Schwere (wie z. B. Atemnot, Husten, Schnupfen) oder für eine Infektion mit SARS-CoV-2 spezifischen Symptomen (Verlust des Geruchs- oder Geschmacksinnes). </w:t>
      </w:r>
    </w:p>
    <w:p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ur Abklärung an (s. Nr. 3</w:t>
      </w:r>
      <w:r w:rsidRPr="00DC7DC1">
        <w:rPr>
          <w:rFonts w:cs="Arial"/>
        </w:rPr>
        <w:t>).</w:t>
      </w:r>
    </w:p>
    <w:p w:rsidR="005A6B15" w:rsidRPr="00DC7DC1" w:rsidRDefault="005A6B15" w:rsidP="005A6B15">
      <w:pPr>
        <w:pStyle w:val="Listenabsatz"/>
        <w:numPr>
          <w:ilvl w:val="0"/>
          <w:numId w:val="5"/>
        </w:numPr>
        <w:rPr>
          <w:rFonts w:cs="Arial"/>
        </w:rPr>
      </w:pPr>
      <w:r w:rsidRPr="00DC7DC1">
        <w:rPr>
          <w:rFonts w:cs="Arial"/>
          <w:b/>
        </w:rPr>
        <w:t>Umkleidekabinen</w:t>
      </w:r>
      <w:r w:rsidRPr="00DC7DC1">
        <w:rPr>
          <w:rFonts w:cs="Arial"/>
        </w:rPr>
        <w:t xml:space="preserve"> in geschlossenen Räumlichkeiten dürfen unter Einhaltung des Mindestabstands genutzt werden.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w:t>
      </w:r>
      <w:r w:rsidR="004A4EAC" w:rsidRPr="00DC7DC1">
        <w:rPr>
          <w:rFonts w:cs="Arial"/>
          <w:b/>
          <w:color w:val="000000"/>
        </w:rPr>
        <w:t>der Bayerischen Infektionsschutzmaßnahmenverordnung</w:t>
      </w:r>
      <w:r w:rsidRPr="00DC7DC1">
        <w:rPr>
          <w:rFonts w:cs="Arial"/>
          <w:b/>
          <w:color w:val="000000"/>
        </w:rPr>
        <w:t xml:space="preserve"> </w:t>
      </w:r>
      <w:r w:rsidR="004A4EAC" w:rsidRPr="00A0562C">
        <w:rPr>
          <w:rFonts w:cs="Arial"/>
          <w:b/>
          <w:color w:val="000000"/>
        </w:rPr>
        <w:t>sowie die gegebenenfalls gesonderten Regelungen für den Innen- bzw. Außenbereich,</w:t>
      </w:r>
      <w:r w:rsidR="004A4EAC" w:rsidRPr="00DC7DC1">
        <w:rPr>
          <w:rFonts w:cs="Arial"/>
          <w:b/>
          <w:color w:val="000000"/>
        </w:rPr>
        <w:t xml:space="preserve"> </w:t>
      </w:r>
      <w:r w:rsidRPr="00DC7DC1">
        <w:rPr>
          <w:rFonts w:cs="Arial"/>
          <w:b/>
          <w:color w:val="000000"/>
        </w:rPr>
        <w:t xml:space="preserve">die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rsidR="006D0572" w:rsidRPr="00DC7DC1" w:rsidRDefault="006D0572" w:rsidP="002C6E47">
      <w:pPr>
        <w:pStyle w:val="KeinLeerraum"/>
        <w:rPr>
          <w:rFonts w:cs="Arial"/>
          <w:lang w:eastAsia="de-DE"/>
        </w:rPr>
      </w:pPr>
    </w:p>
    <w:p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rsidR="006D0572" w:rsidRPr="00DC7DC1" w:rsidRDefault="006D0572" w:rsidP="002C6E47">
      <w:pPr>
        <w:pStyle w:val="KeinLeerraum"/>
        <w:rPr>
          <w:rFonts w:cs="Arial"/>
          <w:lang w:eastAsia="de-DE"/>
        </w:rPr>
      </w:pPr>
    </w:p>
    <w:p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rsidR="00BF2D3E" w:rsidRPr="003F341A" w:rsidRDefault="00EB25C6" w:rsidP="00BF2D3E">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rsidR="006D0572" w:rsidRPr="00DC7DC1" w:rsidRDefault="006D0572" w:rsidP="002C6E47">
      <w:pPr>
        <w:pStyle w:val="KeinLeerraum"/>
        <w:rPr>
          <w:rFonts w:cs="Arial"/>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Handlungsanweisungen für Verdachtsfälle</w:t>
      </w:r>
    </w:p>
    <w:p w:rsidR="006D0572" w:rsidRPr="00DC7DC1" w:rsidRDefault="006D0572" w:rsidP="002C6E47">
      <w:pPr>
        <w:pStyle w:val="KeinLeerraum"/>
        <w:rPr>
          <w:rFonts w:cs="Arial"/>
          <w:lang w:eastAsia="de-DE"/>
        </w:rPr>
      </w:pPr>
    </w:p>
    <w:p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rsidR="006245E7" w:rsidRPr="00DC7DC1" w:rsidRDefault="006245E7" w:rsidP="00514F54">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w:t>
      </w:r>
      <w:r w:rsidRPr="00DC7DC1">
        <w:rPr>
          <w:rFonts w:cs="Arial"/>
        </w:rPr>
        <w:lastRenderedPageBreak/>
        <w:t xml:space="preserve">zu erfolgen, bis die Person, z. B. ein Kind, abgeholt werden </w:t>
      </w:r>
      <w:r w:rsidR="003F341A">
        <w:rPr>
          <w:rFonts w:cs="Arial"/>
        </w:rPr>
        <w:t>bzw. den Heimweg antreten kann.</w:t>
      </w:r>
    </w:p>
    <w:p w:rsidR="00282420" w:rsidRPr="00DC7DC1" w:rsidRDefault="00282420" w:rsidP="00282420">
      <w:pPr>
        <w:pStyle w:val="Listenabsatz"/>
        <w:numPr>
          <w:ilvl w:val="0"/>
          <w:numId w:val="8"/>
        </w:numPr>
        <w:rPr>
          <w:rFonts w:eastAsia="Times New Roman" w:cs="Arial"/>
          <w:szCs w:val="24"/>
          <w:lang w:eastAsia="de-DE"/>
        </w:rPr>
      </w:pPr>
      <w:r w:rsidRPr="00DC7DC1">
        <w:rPr>
          <w:rFonts w:eastAsia="Times New Roman" w:cs="Arial"/>
          <w:szCs w:val="24"/>
          <w:lang w:eastAsia="de-DE"/>
        </w:rPr>
        <w:t xml:space="preserve">Von allen </w:t>
      </w:r>
      <w:r w:rsidR="00653AE2" w:rsidRPr="00DC7DC1">
        <w:rPr>
          <w:rFonts w:eastAsia="Times New Roman" w:cs="Arial"/>
          <w:szCs w:val="24"/>
          <w:lang w:eastAsia="de-DE"/>
        </w:rPr>
        <w:t>Teilnehmern</w:t>
      </w:r>
      <w:r w:rsidRPr="00DC7DC1">
        <w:rPr>
          <w:rFonts w:eastAsia="Times New Roman" w:cs="Arial"/>
          <w:szCs w:val="24"/>
          <w:lang w:eastAsia="de-DE"/>
        </w:rPr>
        <w:t xml:space="preserve"> werden die Kontaktdaten (Name, Telefonnummer oder E-Mail-Adresse bzw. Anschrift) sowie der Zeitraum des Aufenthalts aufgenommen, um bei bestätigten Infektionen Personen zu ermitteln und zu informieren, bei denen durch den Kontakt mit der infizierten Person ebenfalls ein Infektionsrisiko besteht.</w:t>
      </w:r>
    </w:p>
    <w:p w:rsidR="006D0572" w:rsidRPr="00DC7DC1" w:rsidRDefault="006D0572" w:rsidP="002C6E47">
      <w:pPr>
        <w:pStyle w:val="KeinLeerraum"/>
        <w:rPr>
          <w:rFonts w:cs="Arial"/>
          <w:lang w:eastAsia="de-DE"/>
        </w:rPr>
      </w:pPr>
    </w:p>
    <w:p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rsidR="0090383D" w:rsidRPr="0090383D" w:rsidRDefault="0090383D" w:rsidP="0090383D">
      <w:pPr>
        <w:pStyle w:val="KeinLeerraum"/>
        <w:rPr>
          <w:lang w:eastAsia="de-DE"/>
        </w:rPr>
      </w:pPr>
    </w:p>
    <w:p w:rsidR="00BD59D2" w:rsidRPr="00A0562C" w:rsidRDefault="00187A4B" w:rsidP="0090383D">
      <w:pPr>
        <w:pStyle w:val="Listenabsatz"/>
        <w:numPr>
          <w:ilvl w:val="0"/>
          <w:numId w:val="8"/>
        </w:numPr>
        <w:rPr>
          <w:lang w:eastAsia="de-DE"/>
        </w:rPr>
      </w:pPr>
      <w:r w:rsidRPr="00A0562C">
        <w:rPr>
          <w:b/>
        </w:rPr>
        <w:t xml:space="preserve">Testabhängige Angebote können von den </w:t>
      </w:r>
      <w:r w:rsidR="004A4EAC" w:rsidRPr="00A0562C">
        <w:rPr>
          <w:b/>
        </w:rPr>
        <w:t>Teilnehmenden</w:t>
      </w:r>
      <w:r w:rsidRPr="00A0562C">
        <w:rPr>
          <w:b/>
        </w:rPr>
        <w:t xml:space="preserve"> nur unter Vorlage eines Testnachweises wahrgenommen werden.</w:t>
      </w:r>
      <w:r w:rsidRPr="00A0562C">
        <w:t xml:space="preserve"> Sehen die infektionsschutzrechtlichen Regelungen (</w:t>
      </w:r>
      <w:proofErr w:type="spellStart"/>
      <w:r w:rsidRPr="00A0562C">
        <w:t>BayIfSMV</w:t>
      </w:r>
      <w:proofErr w:type="spellEnd"/>
      <w:r w:rsidRPr="00A0562C">
        <w:t>) einen Testnachweis für die Inanspruchnahme des Angebotes vor, sind die entsprechenden Vorgaben hinsichtlich der zulässigen Testverfahren umzusetzen. Dabei dürfen nur zugelassene Produkte zur Anwendung kommen, die definierte Standards erfüllen (siehe die Informationen des Bundesinstituts für Arzneimittel und Medizi</w:t>
      </w:r>
      <w:r w:rsidR="00BD59D2" w:rsidRPr="00A0562C">
        <w:t xml:space="preserve">nprodukte, </w:t>
      </w:r>
      <w:proofErr w:type="spellStart"/>
      <w:r w:rsidR="00BD59D2" w:rsidRPr="00A0562C">
        <w:t>BfArM</w:t>
      </w:r>
      <w:proofErr w:type="spellEnd"/>
      <w:r w:rsidR="00BD59D2" w:rsidRPr="00A0562C">
        <w:t xml:space="preserve">). Zu möglichen </w:t>
      </w:r>
      <w:r w:rsidRPr="00A0562C">
        <w:t xml:space="preserve">Ausnahmen von etwaigen Testpflichten wird auf die jeweils aktuell gültigen infektionsschutzrechtlichen Vorgaben verwiesen. Zur Gestaltung und Gültigkeit der anerkannten Testnachweise gelten die jeweils aktuellen bundes- oder landesrechtlichen Vorgaben. </w:t>
      </w:r>
    </w:p>
    <w:p w:rsidR="00BD59D2" w:rsidRPr="00A0562C" w:rsidRDefault="00187A4B" w:rsidP="0090383D">
      <w:pPr>
        <w:pStyle w:val="Listenabsatz"/>
        <w:numPr>
          <w:ilvl w:val="0"/>
          <w:numId w:val="8"/>
        </w:numPr>
        <w:rPr>
          <w:lang w:eastAsia="de-DE"/>
        </w:rPr>
      </w:pPr>
      <w:r w:rsidRPr="00A0562C">
        <w:t xml:space="preserve">Ein Testnachweis kann nach den </w:t>
      </w:r>
      <w:r w:rsidRPr="00A0562C">
        <w:rPr>
          <w:b/>
        </w:rPr>
        <w:t>Bestimmungen der COVID-19-SchutzmaßnahmenAusnahmenverordnung (</w:t>
      </w:r>
      <w:proofErr w:type="spellStart"/>
      <w:r w:rsidRPr="00A0562C">
        <w:rPr>
          <w:b/>
        </w:rPr>
        <w:t>SchAusnahmV</w:t>
      </w:r>
      <w:proofErr w:type="spellEnd"/>
      <w:r w:rsidRPr="00A0562C">
        <w:rPr>
          <w:b/>
        </w:rPr>
        <w:t>)</w:t>
      </w:r>
      <w:r w:rsidRPr="00A0562C">
        <w:t xml:space="preserve"> ausgestellt werden, wenn dafür zugelassene In-Vitro-Diagnostika zur Anwendung kommen, die zugrundeliegende Testung maximal 24 Stunden zurückliegt und die Testung </w:t>
      </w:r>
    </w:p>
    <w:p w:rsidR="00BD59D2" w:rsidRPr="00A0562C" w:rsidRDefault="00187A4B" w:rsidP="00BD59D2">
      <w:pPr>
        <w:pStyle w:val="Listenabsatz"/>
        <w:numPr>
          <w:ilvl w:val="1"/>
          <w:numId w:val="8"/>
        </w:numPr>
        <w:rPr>
          <w:lang w:eastAsia="de-DE"/>
        </w:rPr>
      </w:pPr>
      <w:r w:rsidRPr="00A0562C">
        <w:t xml:space="preserve">vor Ort unter Aufsicht desjenigen stattfindet, der der jeweiligen Schutzmaßnahme unterworfen ist, </w:t>
      </w:r>
    </w:p>
    <w:p w:rsidR="00BD59D2" w:rsidRPr="00A0562C" w:rsidRDefault="00187A4B" w:rsidP="00BD59D2">
      <w:pPr>
        <w:pStyle w:val="Listenabsatz"/>
        <w:numPr>
          <w:ilvl w:val="1"/>
          <w:numId w:val="8"/>
        </w:numPr>
        <w:rPr>
          <w:lang w:eastAsia="de-DE"/>
        </w:rPr>
      </w:pPr>
      <w:r w:rsidRPr="00A0562C">
        <w:t xml:space="preserve">im Rahmen einer betrieblichen Testung im Sinne des Arbeitsschutzes durch Personal, das die dafür erforderliche Ausbildung oder Kenntnis und Erfahrung besitzt, erfolgt oder </w:t>
      </w:r>
    </w:p>
    <w:p w:rsidR="00BD59D2" w:rsidRPr="00A0562C" w:rsidRDefault="00187A4B" w:rsidP="00BD59D2">
      <w:pPr>
        <w:pStyle w:val="Listenabsatz"/>
        <w:numPr>
          <w:ilvl w:val="1"/>
          <w:numId w:val="8"/>
        </w:numPr>
        <w:rPr>
          <w:lang w:eastAsia="de-DE"/>
        </w:rPr>
      </w:pPr>
      <w:r w:rsidRPr="00A0562C">
        <w:t xml:space="preserve">von einem Leistungserbringer nach § 6 Abs. 1 der </w:t>
      </w:r>
      <w:proofErr w:type="spellStart"/>
      <w:r w:rsidRPr="00A0562C">
        <w:t>Coronavirus</w:t>
      </w:r>
      <w:proofErr w:type="spellEnd"/>
      <w:r w:rsidRPr="00A0562C">
        <w:t xml:space="preserve">-Testverordnung (TestV) vorgenommen oder überwacht wurde. </w:t>
      </w:r>
    </w:p>
    <w:p w:rsidR="00BD59D2" w:rsidRPr="00A0562C" w:rsidRDefault="00187A4B" w:rsidP="00BD59D2">
      <w:pPr>
        <w:pStyle w:val="Listenabsatz"/>
        <w:numPr>
          <w:ilvl w:val="0"/>
          <w:numId w:val="8"/>
        </w:numPr>
        <w:rPr>
          <w:b/>
          <w:lang w:eastAsia="de-DE"/>
        </w:rPr>
      </w:pPr>
      <w:r w:rsidRPr="00A0562C">
        <w:rPr>
          <w:b/>
        </w:rPr>
        <w:t xml:space="preserve">Organisation: </w:t>
      </w:r>
    </w:p>
    <w:p w:rsidR="00BD59D2" w:rsidRPr="00A0562C" w:rsidRDefault="00187A4B" w:rsidP="00BD59D2">
      <w:pPr>
        <w:pStyle w:val="Listenabsatz"/>
        <w:numPr>
          <w:ilvl w:val="1"/>
          <w:numId w:val="8"/>
        </w:numPr>
        <w:rPr>
          <w:lang w:eastAsia="de-DE"/>
        </w:rPr>
      </w:pPr>
      <w:r w:rsidRPr="00A0562C">
        <w:t xml:space="preserve">Die </w:t>
      </w:r>
      <w:r w:rsidR="004A4EAC" w:rsidRPr="00A0562C">
        <w:t xml:space="preserve">Teilnehmenden </w:t>
      </w:r>
      <w:r w:rsidRPr="00A0562C">
        <w:t xml:space="preserve">sollten vorab auf geeignete Weise (ggf. beispielsweise bei Terminbuchung) auf die Notwendigkeit zur Vorlage eines Testnachweises oder einer Testung vor Ort unter Aufsicht des Betreibers hingewiesen werden. </w:t>
      </w:r>
    </w:p>
    <w:p w:rsidR="00FC5496" w:rsidRPr="00A0562C" w:rsidRDefault="00187A4B" w:rsidP="00BD59D2">
      <w:pPr>
        <w:pStyle w:val="Listenabsatz"/>
        <w:numPr>
          <w:ilvl w:val="1"/>
          <w:numId w:val="8"/>
        </w:numPr>
        <w:rPr>
          <w:lang w:eastAsia="de-DE"/>
        </w:rPr>
      </w:pPr>
      <w:r w:rsidRPr="00A0562C">
        <w:t xml:space="preserve">Ein vorgezeigter Testnachweis ist einer </w:t>
      </w:r>
      <w:r w:rsidRPr="00A0562C">
        <w:rPr>
          <w:b/>
        </w:rPr>
        <w:t>Plausibilitätskontrolle</w:t>
      </w:r>
      <w:r w:rsidRPr="00A0562C">
        <w:t xml:space="preserve"> zu unterziehen, wobei </w:t>
      </w:r>
      <w:r w:rsidR="00FC5496" w:rsidRPr="00A0562C">
        <w:t>folgender</w:t>
      </w:r>
      <w:r w:rsidRPr="00A0562C">
        <w:t xml:space="preserve"> Minde</w:t>
      </w:r>
      <w:r w:rsidR="00FC5496" w:rsidRPr="00A0562C">
        <w:t>stinhalt zu berücksichtigen ist:</w:t>
      </w:r>
      <w:r w:rsidR="00D53C97" w:rsidRPr="00A0562C">
        <w:t xml:space="preserve"> Name und Anschrift der Teststelle, Name, Anschrift und Geburtsdatum der getesteten Person, Name des verwendeten Tests, Hersteller des Tests, Ar</w:t>
      </w:r>
      <w:r w:rsidR="00967A46" w:rsidRPr="00A0562C">
        <w:t>t des Tests</w:t>
      </w:r>
      <w:r w:rsidR="00D53C97" w:rsidRPr="00A0562C">
        <w:t>, Testdatum und Testuhrzeit, Name und Vorname der Person, die den Test durchgeführt bzw. beaufsichtigt hat, Kontext, in dem die Testung erfolgt ist (Vor-Ort-Test, betriebliche Testung, Testung durch Leistungserbringer im Sinne des § 6 Abs. 1 Satz 1 TestV), Testergebnis, Datum und Uhrzeit der Mitteilung des Testergebnisses, Stempel der Teststelle, Unterschrift der verantwortlichen Person.</w:t>
      </w:r>
    </w:p>
    <w:p w:rsidR="00BD59D2" w:rsidRPr="00A0562C" w:rsidRDefault="00187A4B" w:rsidP="00FC5496">
      <w:pPr>
        <w:pStyle w:val="Listenabsatz"/>
        <w:ind w:left="1440"/>
        <w:rPr>
          <w:lang w:eastAsia="de-DE"/>
        </w:rPr>
      </w:pPr>
      <w:r w:rsidRPr="00A0562C">
        <w:t xml:space="preserve">Bei dem Verdacht einer Unrichtigkeit bzw. Ungültigkeit des vorgelegten Testnachweises ist der Einlass zu verwehren, wenn nicht die betroffene Person sich einer Vor-Ort-Testung unterzieht. </w:t>
      </w:r>
    </w:p>
    <w:p w:rsidR="00BD59D2" w:rsidRPr="00A0562C" w:rsidRDefault="004A4EAC" w:rsidP="00BD59D2">
      <w:pPr>
        <w:pStyle w:val="Listenabsatz"/>
        <w:numPr>
          <w:ilvl w:val="1"/>
          <w:numId w:val="8"/>
        </w:numPr>
        <w:rPr>
          <w:lang w:eastAsia="de-DE"/>
        </w:rPr>
      </w:pPr>
      <w:r w:rsidRPr="00A0562C">
        <w:t>Kann die bzw. der Teilnehmende</w:t>
      </w:r>
      <w:r w:rsidR="00187A4B" w:rsidRPr="00A0562C">
        <w:t xml:space="preserve"> keinen Testnachweis vorzeigen, </w:t>
      </w:r>
      <w:r w:rsidRPr="00A0562C">
        <w:rPr>
          <w:b/>
        </w:rPr>
        <w:t xml:space="preserve">kann alternativ </w:t>
      </w:r>
      <w:r w:rsidR="00187A4B" w:rsidRPr="00A0562C">
        <w:t xml:space="preserve">vor Ort unter Aufsicht des Veranstalters/des Betreibers </w:t>
      </w:r>
      <w:r w:rsidRPr="00A0562C">
        <w:t xml:space="preserve">getestet </w:t>
      </w:r>
      <w:r w:rsidRPr="00A0562C">
        <w:lastRenderedPageBreak/>
        <w:t>werden</w:t>
      </w:r>
      <w:r w:rsidR="00187A4B" w:rsidRPr="00A0562C">
        <w:t xml:space="preserve">; bei positivem Selbsttest erfolgt möglichst eine gezielte Information der Betroffenen durch die Betreiber (Verweis auf Arzt, ggf. notwendiges Verhalten wie Vermeidung von Kontakten, Rückkehr auf direktem Weg nach Hause, Absonderung, Nachholung PCR-Test). Diese Testnachweise können dann innerhalb von 24 Stunden ab Vornahme der Testung auch für andere Angebote genutzt werden. </w:t>
      </w:r>
    </w:p>
    <w:p w:rsidR="00BD59D2" w:rsidRPr="00A0562C" w:rsidRDefault="00187A4B" w:rsidP="00BD59D2">
      <w:pPr>
        <w:pStyle w:val="Listenabsatz"/>
        <w:numPr>
          <w:ilvl w:val="0"/>
          <w:numId w:val="8"/>
        </w:numPr>
        <w:rPr>
          <w:lang w:eastAsia="de-DE"/>
        </w:rPr>
      </w:pPr>
      <w:r w:rsidRPr="00A0562C">
        <w:t xml:space="preserve">Die Testung kann mittels der folgenden </w:t>
      </w:r>
      <w:r w:rsidRPr="00A0562C">
        <w:rPr>
          <w:b/>
        </w:rPr>
        <w:t>Testmethoden</w:t>
      </w:r>
      <w:r w:rsidRPr="00A0562C">
        <w:t xml:space="preserve"> durchgeführt werden: </w:t>
      </w:r>
    </w:p>
    <w:p w:rsidR="00074382" w:rsidRPr="00A0562C" w:rsidRDefault="00187A4B" w:rsidP="00BD59D2">
      <w:pPr>
        <w:pStyle w:val="Listenabsatz"/>
        <w:numPr>
          <w:ilvl w:val="1"/>
          <w:numId w:val="8"/>
        </w:numPr>
        <w:rPr>
          <w:lang w:eastAsia="de-DE"/>
        </w:rPr>
      </w:pPr>
      <w:r w:rsidRPr="00A0562C">
        <w:rPr>
          <w:b/>
        </w:rPr>
        <w:t>PCR-Tests</w:t>
      </w:r>
      <w:r w:rsidRPr="00A0562C">
        <w:t xml:space="preserve"> können insbesondere im Rahmen der Jedermann-Testungen nach Bayerischem Testangebot in lokalen Testzentren und bei niedergelassenen Ärzten erfolgen. Hierbei wird dann ein Testnachweis durch den Leistungserbringer ausgestellt und vor Wahrnehmung des testabhängigen Angebotes vorgezeigt. </w:t>
      </w:r>
    </w:p>
    <w:p w:rsidR="00074382" w:rsidRPr="00A0562C" w:rsidRDefault="00187A4B" w:rsidP="00BD59D2">
      <w:pPr>
        <w:pStyle w:val="Listenabsatz"/>
        <w:numPr>
          <w:ilvl w:val="1"/>
          <w:numId w:val="8"/>
        </w:numPr>
        <w:rPr>
          <w:lang w:eastAsia="de-DE"/>
        </w:rPr>
      </w:pPr>
      <w:r w:rsidRPr="00A0562C">
        <w:rPr>
          <w:b/>
        </w:rPr>
        <w:t xml:space="preserve">Antigen-Schnelltests zur professionellen Anwendung („Schnelltests“) </w:t>
      </w:r>
      <w:r w:rsidRPr="00A0562C">
        <w:t xml:space="preserve">müssen von medizinischen Fachkräften oder vergleichbaren, hierfür geschulten Personen vorgenommen oder überwacht werden. Dies ist grundsätzlich bei den lokalen Testzentren, den Apotheken und den vom öffentlichen Gesundheitsdienst beauftragten Teststellen möglich, aber auch im Rahmen einer betrieblichen Testung im Sinne des Arbeitsschutzes oder am Ort des testabhängigen Angebotes, sofern er von medizinischen Fachkräften oder vergleichbaren, hierfür geschulten Personen vorgenommen wird.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Um als beauftragte Teststelle zu fungieren, müssen sich die Betriebe auf der Homepage des </w:t>
      </w:r>
      <w:proofErr w:type="spellStart"/>
      <w:r w:rsidRPr="00A0562C">
        <w:t>StMGP</w:t>
      </w:r>
      <w:proofErr w:type="spellEnd"/>
      <w:r w:rsidRPr="00A0562C">
        <w:t xml:space="preserve"> registrieren (Link: https://www.stmgp.bayern.de/coronavirus/massnahmen/#bayerische-teststrategie). </w:t>
      </w:r>
    </w:p>
    <w:p w:rsidR="00187A4B" w:rsidRPr="00A0562C" w:rsidRDefault="004A4EAC" w:rsidP="00074382">
      <w:pPr>
        <w:pStyle w:val="Listenabsatz"/>
        <w:numPr>
          <w:ilvl w:val="1"/>
          <w:numId w:val="8"/>
        </w:numPr>
        <w:rPr>
          <w:lang w:eastAsia="de-DE"/>
        </w:rPr>
      </w:pPr>
      <w:r w:rsidRPr="00A0562C">
        <w:rPr>
          <w:b/>
        </w:rPr>
        <w:t>Alternativ zu diesen Testmethoden k</w:t>
      </w:r>
      <w:r w:rsidR="003F7397" w:rsidRPr="00A0562C">
        <w:rPr>
          <w:b/>
        </w:rPr>
        <w:t>önnen</w:t>
      </w:r>
      <w:r w:rsidRPr="00A0562C">
        <w:rPr>
          <w:b/>
        </w:rPr>
        <w:t xml:space="preserve"> </w:t>
      </w:r>
      <w:r w:rsidR="003F7397" w:rsidRPr="00A0562C">
        <w:rPr>
          <w:b/>
        </w:rPr>
        <w:t>Antigen-Schnelltests</w:t>
      </w:r>
      <w:r w:rsidR="00187A4B" w:rsidRPr="00A0562C">
        <w:rPr>
          <w:b/>
        </w:rPr>
        <w:t xml:space="preserve"> zur Eigenanwendung („Selbsttests“)</w:t>
      </w:r>
      <w:r w:rsidR="00187A4B" w:rsidRPr="00A0562C">
        <w:t xml:space="preserve"> </w:t>
      </w:r>
      <w:r w:rsidRPr="00A0562C">
        <w:rPr>
          <w:b/>
        </w:rPr>
        <w:t>verwendet werden, d</w:t>
      </w:r>
      <w:r w:rsidR="003F7397" w:rsidRPr="00A0562C">
        <w:rPr>
          <w:b/>
        </w:rPr>
        <w:t>ie gegebenenfalls von den</w:t>
      </w:r>
      <w:r w:rsidRPr="00A0562C">
        <w:rPr>
          <w:b/>
        </w:rPr>
        <w:t xml:space="preserve"> </w:t>
      </w:r>
      <w:r w:rsidR="003F7397" w:rsidRPr="00A0562C">
        <w:rPr>
          <w:b/>
        </w:rPr>
        <w:t>Teilnehmenden selbst zu beschaffen sind</w:t>
      </w:r>
      <w:r w:rsidR="003F7397" w:rsidRPr="00A0562C">
        <w:t xml:space="preserve">. Diese Selbsttests </w:t>
      </w:r>
      <w:r w:rsidR="00187A4B" w:rsidRPr="00A0562C">
        <w:t xml:space="preserve">müssen vor Ort unter Aufsicht des Veranstalters/des Betreibers oder einer vom Veranstalter/Betreiber beauftragten Person durchgeführt oder überwacht werden. Im Schutz- und Hygienekonzept des Veranstalters/des Betreibers sind Maßnahmen zur Verhinderung von Menschenansammlungen und zur Umsetzung der allgemeinen Hygieneregeln vorzusehen. </w:t>
      </w:r>
      <w:r w:rsidR="00187A4B" w:rsidRPr="00A0562C">
        <w:rPr>
          <w:b/>
        </w:rPr>
        <w:t>Die beauftragte Person muss über entsprechende Kenntnisse und Erfahrungen verfügen.</w:t>
      </w:r>
      <w:r w:rsidR="00187A4B" w:rsidRPr="00A0562C">
        <w:t xml:space="preserve"> Zeigt ein Selbsttest ein positives Ergebnis an, ist der betroffenen Person der Zutritt zu verweigern. Die betroffene Person sollte sich sofort absondern, alle Kontakte so weit wie möglich vermeiden und über den Hausarzt, das Gesundheitsamt oder die Rufnummer 116 117</w:t>
      </w:r>
      <w:r w:rsidR="00074382" w:rsidRPr="00A0562C">
        <w:t xml:space="preserve"> der Kassenärztlichen Vereinigung einen Termin zur PCR-Testung vereinbaren.</w:t>
      </w:r>
    </w:p>
    <w:p w:rsidR="00074382" w:rsidRDefault="00734374" w:rsidP="0090383D">
      <w:pPr>
        <w:pStyle w:val="Listenabsatz"/>
        <w:numPr>
          <w:ilvl w:val="0"/>
          <w:numId w:val="8"/>
        </w:numPr>
        <w:rPr>
          <w:lang w:eastAsia="de-DE"/>
        </w:rPr>
      </w:pPr>
      <w:r w:rsidRPr="00734374">
        <w:rPr>
          <w:b/>
        </w:rPr>
        <w:t>G</w:t>
      </w:r>
      <w:r w:rsidR="00360780" w:rsidRPr="00734374">
        <w:rPr>
          <w:b/>
        </w:rPr>
        <w:t>eimpfte und genesene Personen</w:t>
      </w:r>
      <w:r w:rsidR="00360780">
        <w:t xml:space="preserve"> </w:t>
      </w:r>
      <w:r w:rsidR="00DE7F2B">
        <w:t xml:space="preserve">sind </w:t>
      </w:r>
      <w:r w:rsidR="00360780">
        <w:t xml:space="preserve">vom Erfordernis des Nachweises eines negativen Testergebnisses ausgenommen. </w:t>
      </w:r>
    </w:p>
    <w:p w:rsidR="00074382" w:rsidRDefault="00360780" w:rsidP="00074382">
      <w:pPr>
        <w:pStyle w:val="Listenabsatz"/>
        <w:numPr>
          <w:ilvl w:val="1"/>
          <w:numId w:val="8"/>
        </w:numPr>
        <w:rPr>
          <w:lang w:eastAsia="de-DE"/>
        </w:rPr>
      </w:pPr>
      <w:r>
        <w:t xml:space="preserve">Als geimpft gelten Personen, die vollständig gegen COVID-19 mit einem in der Europäischen Union zugelassenen Impfstoff geimpft sind, über einen Impfnachweis in deutscher, englischer, französischer, italienischer oder </w:t>
      </w:r>
      <w:r>
        <w:lastRenderedPageBreak/>
        <w:t xml:space="preserve">spanischer Sprache oder in einem elektronischen Dokument verfügen und bei denen seit der abschließenden Impfung mindestens 14 Tage vergangen sind. </w:t>
      </w:r>
    </w:p>
    <w:p w:rsidR="00074382" w:rsidRDefault="00360780" w:rsidP="00074382">
      <w:pPr>
        <w:pStyle w:val="Listenabsatz"/>
        <w:numPr>
          <w:ilvl w:val="1"/>
          <w:numId w:val="8"/>
        </w:numPr>
        <w:rPr>
          <w:lang w:eastAsia="de-DE"/>
        </w:rPr>
      </w:pPr>
      <w:r>
        <w:t xml:space="preserve">Als genesen gelten Personen, die über einen Nachweis hinsichtlich des Vorliegens einer vorherigen Infektion mit dem </w:t>
      </w:r>
      <w:proofErr w:type="spellStart"/>
      <w:r>
        <w:t>Coronavirus</w:t>
      </w:r>
      <w:proofErr w:type="spellEnd"/>
      <w:r>
        <w:t xml:space="preserve"> SARS-CoV-2 in deutscher, englischer, französischer, italienischer oder spanischer Sprache oder in einem elektronischen Dokument verfügen, wenn die zugrundeliegende Testung mittels PCR-Verfahren erfolgt ist und mindestens 28 Tage, höchstens aber sechs Monate zurückliegt. </w:t>
      </w:r>
    </w:p>
    <w:p w:rsidR="00360780" w:rsidRDefault="00360780" w:rsidP="00074382">
      <w:pPr>
        <w:pStyle w:val="Listenabsatz"/>
        <w:numPr>
          <w:ilvl w:val="1"/>
          <w:numId w:val="8"/>
        </w:numPr>
        <w:rPr>
          <w:lang w:eastAsia="de-DE"/>
        </w:rPr>
      </w:pPr>
      <w:r>
        <w:t xml:space="preserve">Sowohl genesene als auch geimpfte Personen dürfen keine typischen Symptome einer Infektion mit dem </w:t>
      </w:r>
      <w:proofErr w:type="spellStart"/>
      <w:r>
        <w:t>Coronavirus</w:t>
      </w:r>
      <w:proofErr w:type="spellEnd"/>
      <w:r>
        <w:t xml:space="preserve"> SARS-CoV-2 aufweisen. Bei ihnen darf zudem keine aktuelle Infektion mit dem </w:t>
      </w:r>
      <w:proofErr w:type="spellStart"/>
      <w:r>
        <w:t>Coronavirus</w:t>
      </w:r>
      <w:proofErr w:type="spellEnd"/>
      <w:r>
        <w:t xml:space="preserve"> SARS-CoV-2 nachgewiesen sein.</w:t>
      </w:r>
    </w:p>
    <w:p w:rsidR="00B3587B" w:rsidRPr="00A0562C" w:rsidRDefault="00B3587B" w:rsidP="00074382">
      <w:pPr>
        <w:pStyle w:val="Listenabsatz"/>
        <w:numPr>
          <w:ilvl w:val="1"/>
          <w:numId w:val="8"/>
        </w:numPr>
        <w:rPr>
          <w:lang w:eastAsia="de-DE"/>
        </w:rPr>
      </w:pPr>
      <w:r w:rsidRPr="00A0562C">
        <w:t xml:space="preserve">Geimpfte bzw. genesene Personen haben vor der Nutzung eines testabhängigen Angebotes einen Impfnachweis bzw. einen </w:t>
      </w:r>
      <w:proofErr w:type="spellStart"/>
      <w:r w:rsidRPr="00A0562C">
        <w:t>Genesenennachweis</w:t>
      </w:r>
      <w:proofErr w:type="spellEnd"/>
      <w:r w:rsidRPr="00A0562C">
        <w:t xml:space="preserve"> im Sinne der </w:t>
      </w:r>
      <w:proofErr w:type="spellStart"/>
      <w:r w:rsidRPr="00A0562C">
        <w:t>SchAusnahmV</w:t>
      </w:r>
      <w:proofErr w:type="spellEnd"/>
      <w:r w:rsidRPr="00A0562C">
        <w:t xml:space="preserve"> vorzulegen.</w:t>
      </w:r>
    </w:p>
    <w:p w:rsidR="0090383D" w:rsidRPr="0090383D" w:rsidRDefault="0090383D" w:rsidP="0090383D">
      <w:pPr>
        <w:ind w:left="360"/>
        <w:rPr>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rsidR="006D0572" w:rsidRPr="00DC7DC1" w:rsidRDefault="006D0572" w:rsidP="002C6E47">
      <w:pPr>
        <w:pStyle w:val="KeinLeerraum"/>
        <w:rPr>
          <w:rFonts w:cs="Arial"/>
          <w:lang w:eastAsia="de-DE"/>
        </w:rPr>
      </w:pP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rsidR="00A750C6" w:rsidRPr="00DC7DC1" w:rsidRDefault="00A750C6" w:rsidP="00514F54">
      <w:pPr>
        <w:pStyle w:val="Listenabsatz"/>
        <w:numPr>
          <w:ilvl w:val="0"/>
          <w:numId w:val="9"/>
        </w:numPr>
        <w:rPr>
          <w:rFonts w:cs="Arial"/>
          <w:lang w:eastAsia="de-DE"/>
        </w:rPr>
      </w:pPr>
      <w:r w:rsidRPr="00DC7DC1">
        <w:rPr>
          <w:rFonts w:cs="Arial"/>
        </w:rPr>
        <w:t xml:space="preserve">Haartrockner dürfen nur benutzt werden, wenn der Abstand zwischen den Geräten mindestens 2 Meter beträgt. Die Griffe der Haartrockner müssen regelmäßig desinfiziert werden. </w:t>
      </w:r>
      <w:proofErr w:type="spellStart"/>
      <w:r w:rsidRPr="00DC7DC1">
        <w:rPr>
          <w:rFonts w:cs="Arial"/>
        </w:rPr>
        <w:t>Jetstream</w:t>
      </w:r>
      <w:proofErr w:type="spellEnd"/>
      <w:r w:rsidRPr="00DC7DC1">
        <w:rPr>
          <w:rFonts w:cs="Arial"/>
        </w:rPr>
        <w:t>-Geräte sind erlaubt, soweit diese mit einer HEPA-Filterung ausgestattet sind.</w:t>
      </w:r>
    </w:p>
    <w:p w:rsidR="001146CB" w:rsidRPr="00DC7DC1" w:rsidRDefault="001146CB" w:rsidP="001146CB">
      <w:pPr>
        <w:rPr>
          <w:rFonts w:cs="Arial"/>
          <w:lang w:eastAsia="de-DE"/>
        </w:rPr>
      </w:pPr>
    </w:p>
    <w:p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rsidR="001146CB" w:rsidRPr="00DC7DC1" w:rsidRDefault="001146CB" w:rsidP="001146CB">
      <w:pPr>
        <w:pStyle w:val="KeinLeerraum"/>
        <w:rPr>
          <w:rFonts w:cs="Arial"/>
          <w:lang w:eastAsia="de-DE"/>
        </w:rPr>
      </w:pPr>
    </w:p>
    <w:p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w:t>
      </w:r>
      <w:proofErr w:type="spellStart"/>
      <w:r w:rsidRPr="00DC7DC1">
        <w:rPr>
          <w:rFonts w:eastAsia="Times New Roman" w:cs="Arial"/>
          <w:szCs w:val="24"/>
          <w:lang w:eastAsia="de-DE"/>
        </w:rPr>
        <w:t>BAuA</w:t>
      </w:r>
      <w:proofErr w:type="spellEnd"/>
      <w:r w:rsidRPr="00DC7DC1">
        <w:rPr>
          <w:rFonts w:eastAsia="Times New Roman" w:cs="Arial"/>
          <w:szCs w:val="24"/>
          <w:lang w:eastAsia="de-DE"/>
        </w:rPr>
        <w:t xml:space="preserve">) in der </w:t>
      </w:r>
      <w:r w:rsidRPr="00DC7DC1">
        <w:rPr>
          <w:rFonts w:eastAsia="Times New Roman" w:cs="Arial"/>
          <w:szCs w:val="24"/>
          <w:lang w:eastAsia="de-DE"/>
        </w:rPr>
        <w:lastRenderedPageBreak/>
        <w:t xml:space="preserve">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w:t>
      </w:r>
      <w:proofErr w:type="spellStart"/>
      <w:r w:rsidRPr="00DC7DC1">
        <w:rPr>
          <w:rFonts w:eastAsia="Times New Roman" w:cs="Arial"/>
          <w:szCs w:val="24"/>
          <w:lang w:eastAsia="de-DE"/>
        </w:rPr>
        <w:t>indoor</w:t>
      </w:r>
      <w:proofErr w:type="spellEnd"/>
      <w:r w:rsidRPr="00DC7DC1">
        <w:rPr>
          <w:rFonts w:eastAsia="Times New Roman" w:cs="Arial"/>
          <w:szCs w:val="24"/>
          <w:lang w:eastAsia="de-DE"/>
        </w:rPr>
        <w:t xml:space="preserve">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rsidR="0090383D" w:rsidRPr="0090383D" w:rsidRDefault="0090383D" w:rsidP="0090383D">
      <w:pPr>
        <w:rPr>
          <w:rFonts w:eastAsia="Times New Roman" w:cs="Arial"/>
          <w:szCs w:val="24"/>
          <w:lang w:eastAsia="de-DE"/>
        </w:rPr>
      </w:pPr>
    </w:p>
    <w:p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rsidR="006D0572" w:rsidRPr="00DC7DC1" w:rsidRDefault="006D0572" w:rsidP="002C6E47">
      <w:pPr>
        <w:pStyle w:val="KeinLeerraum"/>
        <w:rPr>
          <w:rFonts w:cs="Arial"/>
          <w:lang w:eastAsia="de-DE"/>
        </w:rPr>
      </w:pPr>
    </w:p>
    <w:p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rsidR="006D0572" w:rsidRPr="00DC7DC1" w:rsidRDefault="006D0572" w:rsidP="002C6E47">
      <w:pPr>
        <w:pStyle w:val="KeinLeerraum"/>
        <w:rPr>
          <w:rFonts w:cs="Arial"/>
          <w:lang w:eastAsia="de-DE"/>
        </w:rPr>
      </w:pPr>
    </w:p>
    <w:p w:rsidR="006D0572" w:rsidRPr="00DC7DC1" w:rsidRDefault="006D0572" w:rsidP="002C6E47">
      <w:pPr>
        <w:pStyle w:val="KeinLeerraum"/>
        <w:rPr>
          <w:rFonts w:cs="Arial"/>
          <w:lang w:eastAsia="de-DE"/>
        </w:rPr>
      </w:pPr>
    </w:p>
    <w:p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rsidR="00F32A2A" w:rsidRPr="00DC7DC1" w:rsidRDefault="00F32A2A" w:rsidP="00F32A2A">
      <w:pPr>
        <w:pStyle w:val="Default"/>
      </w:pPr>
    </w:p>
    <w:p w:rsidR="00B3587B" w:rsidRPr="00A0562C" w:rsidRDefault="00B3587B" w:rsidP="00653AE2">
      <w:pPr>
        <w:pStyle w:val="Listenabsatz"/>
        <w:numPr>
          <w:ilvl w:val="0"/>
          <w:numId w:val="15"/>
        </w:numPr>
        <w:rPr>
          <w:rFonts w:cs="Arial"/>
        </w:rPr>
      </w:pPr>
      <w:bookmarkStart w:id="0" w:name="_GoBack"/>
      <w:bookmarkEnd w:id="0"/>
      <w:r w:rsidRPr="00A0562C">
        <w:t>Soweit nach den Regelungen der jeweils gültigen Bayerischen Infektionsschutzmaßnahmenverordnung (</w:t>
      </w:r>
      <w:proofErr w:type="spellStart"/>
      <w:r w:rsidRPr="00A0562C">
        <w:t>BayIfSMV</w:t>
      </w:r>
      <w:proofErr w:type="spellEnd"/>
      <w:r w:rsidRPr="00A0562C">
        <w:t xml:space="preserve">) bei Sportveranstaltungen </w:t>
      </w:r>
      <w:r w:rsidRPr="00A0562C">
        <w:rPr>
          <w:b/>
        </w:rPr>
        <w:t>Zuschauer</w:t>
      </w:r>
      <w:r w:rsidRPr="00A0562C">
        <w:t xml:space="preserve"> zugelassen sind, sind neben den Vorgaben dieses Konzepts die Maßgaben der </w:t>
      </w:r>
      <w:proofErr w:type="spellStart"/>
      <w:r w:rsidRPr="00A0562C">
        <w:t>BayIfSMV</w:t>
      </w:r>
      <w:proofErr w:type="spellEnd"/>
      <w:r w:rsidRPr="00A0562C">
        <w:t xml:space="preserve"> zu beachten.</w:t>
      </w:r>
    </w:p>
    <w:p w:rsidR="00B3587B" w:rsidRPr="00A0562C" w:rsidRDefault="00B3587B" w:rsidP="00AC5100">
      <w:pPr>
        <w:pStyle w:val="Listenabsatz"/>
        <w:numPr>
          <w:ilvl w:val="0"/>
          <w:numId w:val="15"/>
        </w:numPr>
        <w:rPr>
          <w:rFonts w:cs="Arial"/>
        </w:rPr>
      </w:pPr>
      <w:r w:rsidRPr="00A0562C">
        <w:t xml:space="preserve">Soweit die </w:t>
      </w:r>
      <w:proofErr w:type="spellStart"/>
      <w:r w:rsidRPr="00A0562C">
        <w:t>BayIfSMV</w:t>
      </w:r>
      <w:proofErr w:type="spellEnd"/>
      <w:r w:rsidRPr="00A0562C">
        <w:t xml:space="preserve"> eine </w:t>
      </w:r>
      <w:r w:rsidRPr="00A0562C">
        <w:rPr>
          <w:b/>
        </w:rPr>
        <w:t>vorherige Terminbuchung</w:t>
      </w:r>
      <w:r w:rsidRPr="00A0562C">
        <w:t xml:space="preserve"> vorsieht, ist durch die Buchungen sicherzustellen, dass die Personenhöchstzahl zu keinem Zeitpunkt überschritten wird: Die Zahl der gleichzeitig im Innenbereich von Sportstätten anwesenden Personen ist von dem Betreiber in seinem Hygienekonzept so festzulegen, dass auch bei Erreichen der Personenhöchstzahl die Einhaltung des Mindestabstands von 1,5 m zu jeder Zeit gewährleistet ist. Bei der Festlegung der Personenzahl sind die Gegebenheiten vor Ort zu berücksichtigen. Es muss sichergestellt sein, dass die Einhaltung der Mindestabstände in allen zugänglichen Bereichen einschließlich der sanitären Anlagen und Umkleidekabinen jederzeit gewährleistet ist. Es dürfte sich hierbei empfehlen, dass bezogen auf die Fläche des Raums, in dem der Sport ausgeübt wird, je eine Person pro ca. 20 m</w:t>
      </w:r>
      <w:r w:rsidRPr="00A0562C">
        <w:rPr>
          <w:vertAlign w:val="superscript"/>
        </w:rPr>
        <w:t>2</w:t>
      </w:r>
      <w:r w:rsidRPr="00A0562C">
        <w:t xml:space="preserve"> zugelassen wird.</w:t>
      </w:r>
    </w:p>
    <w:p w:rsidR="000A1213" w:rsidRPr="0090383D" w:rsidRDefault="00EB25C6" w:rsidP="00653AE2">
      <w:pPr>
        <w:pStyle w:val="Listenabsatz"/>
        <w:numPr>
          <w:ilvl w:val="0"/>
          <w:numId w:val="15"/>
        </w:numPr>
        <w:rPr>
          <w:rFonts w:cs="Arial"/>
        </w:rPr>
      </w:pPr>
      <w:r w:rsidRPr="00DC7DC1">
        <w:rPr>
          <w:rFonts w:cs="Arial"/>
        </w:rPr>
        <w:t>Minderjährige Sportler können zur Wahrnehmung der elterlichen Sorge (Elternrecht) beim Sportbetrieb von ihren Erziehungsberechtigten begleitet werden. Dabei sind Ansammlungen mehrerer Erziehungsberechtigter in jedem Fall zu vermeiden; der Mindestabstand ist einzuhalten</w:t>
      </w:r>
      <w:r w:rsidR="00B3587B">
        <w:rPr>
          <w:rFonts w:cs="Arial"/>
        </w:rPr>
        <w:t>.</w:t>
      </w:r>
    </w:p>
    <w:p w:rsidR="00F32A2A" w:rsidRPr="00DC7DC1" w:rsidRDefault="00F32A2A" w:rsidP="00F32A2A">
      <w:pPr>
        <w:pStyle w:val="berschrift2"/>
        <w:spacing w:before="0" w:line="240" w:lineRule="auto"/>
        <w:ind w:left="360"/>
        <w:rPr>
          <w:rFonts w:eastAsia="Times New Roman" w:cs="Arial"/>
          <w:color w:val="auto"/>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rsidR="006D0572" w:rsidRPr="00DC7DC1" w:rsidRDefault="006D0572" w:rsidP="002C6E47">
      <w:pPr>
        <w:pStyle w:val="KeinLeerraum"/>
        <w:rPr>
          <w:rFonts w:cs="Arial"/>
          <w:lang w:eastAsia="de-DE"/>
        </w:rPr>
      </w:pPr>
    </w:p>
    <w:p w:rsidR="00D67F90" w:rsidRPr="00DC7DC1" w:rsidRDefault="008B3D39" w:rsidP="002C6E47">
      <w:pPr>
        <w:pStyle w:val="Listenabsatz"/>
        <w:numPr>
          <w:ilvl w:val="0"/>
          <w:numId w:val="15"/>
        </w:numPr>
        <w:rPr>
          <w:rFonts w:cs="Arial"/>
        </w:rPr>
      </w:pPr>
      <w:r w:rsidRPr="00DC7DC1">
        <w:rPr>
          <w:rFonts w:cs="Arial"/>
        </w:rPr>
        <w:lastRenderedPageBreak/>
        <w:t xml:space="preserve">Auf die Einhaltung des Mindestabstandsgebots von 1,5 Metern ist zu achten, z. B. durch die Nicht-Inbetriebnahme von jedem zweiten Waschbecken, Pissoir o. Ä. Insbesondere in Mehrplatzduschräumen gilt die Beachtung des Mindestabstands. </w:t>
      </w:r>
    </w:p>
    <w:p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rsidR="002C6E47" w:rsidRPr="00DC7DC1" w:rsidRDefault="002C6E47" w:rsidP="002C6E47">
      <w:pPr>
        <w:pStyle w:val="KeinLeerraum"/>
        <w:rPr>
          <w:rFonts w:cs="Arial"/>
          <w:lang w:eastAsia="de-DE"/>
        </w:rPr>
      </w:pPr>
    </w:p>
    <w:p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DC7DC1">
        <w:rPr>
          <w:rFonts w:cs="Arial"/>
        </w:rPr>
        <w:t>indoor</w:t>
      </w:r>
      <w:proofErr w:type="spellEnd"/>
      <w:r w:rsidRPr="00DC7DC1">
        <w:rPr>
          <w:rFonts w:cs="Arial"/>
        </w:rPr>
        <w:t xml:space="preserve"> und </w:t>
      </w:r>
      <w:proofErr w:type="spellStart"/>
      <w:r w:rsidRPr="00DC7DC1">
        <w:rPr>
          <w:rFonts w:cs="Arial"/>
        </w:rPr>
        <w:t>outdoor</w:t>
      </w:r>
      <w:proofErr w:type="spellEnd"/>
      <w:r w:rsidRPr="00DC7DC1">
        <w:rPr>
          <w:rFonts w:cs="Arial"/>
        </w:rPr>
        <w:t xml:space="preserve">) sind vorab in geeigneter Weise über diese Ausschlusskriterien zu informieren (z. B. durch Aushang). </w:t>
      </w:r>
    </w:p>
    <w:p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über das Abstandsgebot, die Tragepflicht einer FFP2-Maske und über die Reinigung der Hände mit Seife und fließendem Wasser zu informieren.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rsidR="002C6E47" w:rsidRPr="00DC7DC1" w:rsidRDefault="002C6E47" w:rsidP="002C6E47">
      <w:pPr>
        <w:pStyle w:val="KeinLeerraum"/>
        <w:rPr>
          <w:rFonts w:cs="Arial"/>
          <w:lang w:eastAsia="de-DE"/>
        </w:rPr>
      </w:pPr>
    </w:p>
    <w:p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rsidR="002B020D" w:rsidRDefault="00F125A1" w:rsidP="00653D7F">
      <w:pPr>
        <w:spacing w:after="0" w:line="240" w:lineRule="auto"/>
      </w:pPr>
      <w:r w:rsidRPr="00F125A1">
        <w:rPr>
          <w:noProof/>
          <w:lang w:eastAsia="de-DE"/>
        </w:rPr>
        <w:lastRenderedPageBreak/>
        <w:drawing>
          <wp:inline distT="0" distB="0" distL="0" distR="0">
            <wp:extent cx="5109821" cy="8943975"/>
            <wp:effectExtent l="0"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51" cy="9025243"/>
                    </a:xfrm>
                    <a:prstGeom prst="rect">
                      <a:avLst/>
                    </a:prstGeom>
                    <a:noFill/>
                    <a:ln>
                      <a:noFill/>
                    </a:ln>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F48FF">
      <w:rPr>
        <w:rFonts w:cs="Arial"/>
        <w:b/>
        <w:i/>
        <w:color w:val="A6A6A6" w:themeColor="background1" w:themeShade="A6"/>
        <w:highlight w:val="yellow"/>
      </w:rPr>
      <w:t>Stand 26</w:t>
    </w:r>
    <w:r w:rsidR="006F5EAD">
      <w:rPr>
        <w:rFonts w:cs="Arial"/>
        <w:b/>
        <w:i/>
        <w:color w:val="A6A6A6" w:themeColor="background1" w:themeShade="A6"/>
        <w:highlight w:val="yellow"/>
      </w:rPr>
      <w:t>.05.2021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A0562C">
      <w:rPr>
        <w:rFonts w:cs="Arial"/>
        <w:i/>
        <w:noProof/>
        <w:color w:val="A6A6A6" w:themeColor="background1" w:themeShade="A6"/>
      </w:rPr>
      <w:t>12</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21F31"/>
    <w:rsid w:val="00074382"/>
    <w:rsid w:val="00094BC9"/>
    <w:rsid w:val="000A1213"/>
    <w:rsid w:val="000B41B2"/>
    <w:rsid w:val="000B4509"/>
    <w:rsid w:val="000B5FA4"/>
    <w:rsid w:val="000D5363"/>
    <w:rsid w:val="0011241F"/>
    <w:rsid w:val="00114321"/>
    <w:rsid w:val="001146CB"/>
    <w:rsid w:val="00126222"/>
    <w:rsid w:val="00145837"/>
    <w:rsid w:val="001543A9"/>
    <w:rsid w:val="00155BEC"/>
    <w:rsid w:val="00183E5E"/>
    <w:rsid w:val="001845B1"/>
    <w:rsid w:val="00187A4B"/>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B2DF1"/>
    <w:rsid w:val="003C5A27"/>
    <w:rsid w:val="003D490F"/>
    <w:rsid w:val="003E00AA"/>
    <w:rsid w:val="003E49F2"/>
    <w:rsid w:val="003F341A"/>
    <w:rsid w:val="003F48FF"/>
    <w:rsid w:val="003F7397"/>
    <w:rsid w:val="00464C27"/>
    <w:rsid w:val="004A384E"/>
    <w:rsid w:val="004A4EAC"/>
    <w:rsid w:val="004B387A"/>
    <w:rsid w:val="004D3C0E"/>
    <w:rsid w:val="004D4066"/>
    <w:rsid w:val="004D4588"/>
    <w:rsid w:val="00501D18"/>
    <w:rsid w:val="00514F54"/>
    <w:rsid w:val="00557F0A"/>
    <w:rsid w:val="0058687C"/>
    <w:rsid w:val="005A58B4"/>
    <w:rsid w:val="005A6B15"/>
    <w:rsid w:val="005F2099"/>
    <w:rsid w:val="00604E57"/>
    <w:rsid w:val="00613F33"/>
    <w:rsid w:val="00614B49"/>
    <w:rsid w:val="006245E7"/>
    <w:rsid w:val="00627A2F"/>
    <w:rsid w:val="00653AE2"/>
    <w:rsid w:val="00653D7F"/>
    <w:rsid w:val="00693906"/>
    <w:rsid w:val="006D0572"/>
    <w:rsid w:val="006D2A9E"/>
    <w:rsid w:val="006F5EAD"/>
    <w:rsid w:val="007303B1"/>
    <w:rsid w:val="00734374"/>
    <w:rsid w:val="007B2720"/>
    <w:rsid w:val="007D05B4"/>
    <w:rsid w:val="00810695"/>
    <w:rsid w:val="008B3D39"/>
    <w:rsid w:val="008E677D"/>
    <w:rsid w:val="008F555D"/>
    <w:rsid w:val="0090124F"/>
    <w:rsid w:val="0090383D"/>
    <w:rsid w:val="00907095"/>
    <w:rsid w:val="009351A9"/>
    <w:rsid w:val="00935A06"/>
    <w:rsid w:val="00967A46"/>
    <w:rsid w:val="009933F4"/>
    <w:rsid w:val="009A63FC"/>
    <w:rsid w:val="009B253A"/>
    <w:rsid w:val="009E199A"/>
    <w:rsid w:val="009E3481"/>
    <w:rsid w:val="009F10E3"/>
    <w:rsid w:val="00A0562C"/>
    <w:rsid w:val="00A1748E"/>
    <w:rsid w:val="00A24180"/>
    <w:rsid w:val="00A411C4"/>
    <w:rsid w:val="00A710C0"/>
    <w:rsid w:val="00A750C6"/>
    <w:rsid w:val="00AB4C79"/>
    <w:rsid w:val="00B2650C"/>
    <w:rsid w:val="00B3325E"/>
    <w:rsid w:val="00B3587B"/>
    <w:rsid w:val="00B64F1D"/>
    <w:rsid w:val="00B766BC"/>
    <w:rsid w:val="00B83E7E"/>
    <w:rsid w:val="00B92A95"/>
    <w:rsid w:val="00B9391D"/>
    <w:rsid w:val="00BA4A66"/>
    <w:rsid w:val="00BC165C"/>
    <w:rsid w:val="00BD5711"/>
    <w:rsid w:val="00BD59D2"/>
    <w:rsid w:val="00BE0458"/>
    <w:rsid w:val="00BE0C14"/>
    <w:rsid w:val="00BF2D3E"/>
    <w:rsid w:val="00C0362F"/>
    <w:rsid w:val="00C1560E"/>
    <w:rsid w:val="00C46F41"/>
    <w:rsid w:val="00C53822"/>
    <w:rsid w:val="00CA3F2B"/>
    <w:rsid w:val="00CC5137"/>
    <w:rsid w:val="00CD02FE"/>
    <w:rsid w:val="00CD7CDC"/>
    <w:rsid w:val="00CF05F7"/>
    <w:rsid w:val="00D3690E"/>
    <w:rsid w:val="00D53C97"/>
    <w:rsid w:val="00D6480B"/>
    <w:rsid w:val="00D67F90"/>
    <w:rsid w:val="00D8437F"/>
    <w:rsid w:val="00DA6CE3"/>
    <w:rsid w:val="00DC3049"/>
    <w:rsid w:val="00DC5DF7"/>
    <w:rsid w:val="00DC7DC1"/>
    <w:rsid w:val="00DD0C41"/>
    <w:rsid w:val="00DD3EF4"/>
    <w:rsid w:val="00DD4110"/>
    <w:rsid w:val="00DE7F2B"/>
    <w:rsid w:val="00DF4C51"/>
    <w:rsid w:val="00E23881"/>
    <w:rsid w:val="00E3517E"/>
    <w:rsid w:val="00E67660"/>
    <w:rsid w:val="00EA449C"/>
    <w:rsid w:val="00EA7BE6"/>
    <w:rsid w:val="00EB25C6"/>
    <w:rsid w:val="00EC041A"/>
    <w:rsid w:val="00EC3F3E"/>
    <w:rsid w:val="00EF2748"/>
    <w:rsid w:val="00F00E22"/>
    <w:rsid w:val="00F125A1"/>
    <w:rsid w:val="00F25C20"/>
    <w:rsid w:val="00F32A2A"/>
    <w:rsid w:val="00FC5496"/>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066F"/>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F162-47D7-4C70-BAF2-D0A030D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3058</Words>
  <Characters>19268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11</cp:revision>
  <cp:lastPrinted>2020-07-13T11:36:00Z</cp:lastPrinted>
  <dcterms:created xsi:type="dcterms:W3CDTF">2021-05-25T15:01:00Z</dcterms:created>
  <dcterms:modified xsi:type="dcterms:W3CDTF">2021-05-26T14:44:00Z</dcterms:modified>
  <cp:category/>
</cp:coreProperties>
</file>